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31" w:rsidRDefault="00D27231" w:rsidP="00D272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F51" w:rsidRDefault="00135F51" w:rsidP="00D272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ОГА ПОУ «Вейделевский агротехнологический техникум</w:t>
      </w:r>
    </w:p>
    <w:p w:rsidR="00D27231" w:rsidRDefault="00D27231" w:rsidP="00D272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имени Грязнова В.М.»</w:t>
      </w: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Pr="0091347B" w:rsidRDefault="00D27231" w:rsidP="00D27231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1347B">
        <w:rPr>
          <w:rFonts w:ascii="Times New Roman" w:hAnsi="Times New Roman" w:cs="Times New Roman"/>
          <w:b/>
          <w:sz w:val="36"/>
          <w:szCs w:val="36"/>
          <w:lang w:eastAsia="ru-RU"/>
        </w:rPr>
        <w:t>ДОКЛАД</w:t>
      </w:r>
    </w:p>
    <w:p w:rsidR="00D27231" w:rsidRPr="0091347B" w:rsidRDefault="00D27231" w:rsidP="00D27231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27231" w:rsidRPr="0091347B" w:rsidRDefault="00D27231" w:rsidP="00D27231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1347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Тема: </w:t>
      </w:r>
      <w:r w:rsidRPr="00CF5F64">
        <w:rPr>
          <w:rFonts w:ascii="Times New Roman" w:hAnsi="Times New Roman" w:cs="Times New Roman"/>
          <w:sz w:val="36"/>
          <w:szCs w:val="36"/>
          <w:lang w:eastAsia="ru-RU"/>
        </w:rPr>
        <w:t>«Создание условий для реализации основных профессиональных образовательных программ в соответствии с ФГОС ТОП – 50»</w:t>
      </w: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D27231" w:rsidRDefault="00D27231" w:rsidP="00D27231">
      <w:pPr>
        <w:pStyle w:val="a3"/>
        <w:ind w:firstLine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</w:p>
    <w:p w:rsidR="00D27231" w:rsidRDefault="00D27231" w:rsidP="00D27231">
      <w:pPr>
        <w:pStyle w:val="a3"/>
        <w:ind w:firstLine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Посохова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Н.А.</w:t>
      </w: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Default="00D27231" w:rsidP="007958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Вейделевка – 2020г.</w:t>
      </w:r>
    </w:p>
    <w:p w:rsidR="00D27231" w:rsidRPr="004132B6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2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Сегодня на рубеже смены приоритетов в области развития профессионального образования и перехода к новым механизмам управления содержанием профессионального образования отчетливо проявляются инновационные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подходы к модернизации</w:t>
      </w:r>
      <w:r w:rsidRPr="004132B6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реализации образовательных программ в соответствии с приоритетами государственной политики в области среднего профессионального образования.</w:t>
      </w:r>
    </w:p>
    <w:p w:rsidR="00D27231" w:rsidRPr="002173CB" w:rsidRDefault="00D27231" w:rsidP="00D272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73CB">
        <w:rPr>
          <w:rFonts w:ascii="Times New Roman" w:eastAsia="Times New Roman" w:hAnsi="Times New Roman"/>
          <w:sz w:val="28"/>
          <w:szCs w:val="28"/>
          <w:lang w:eastAsia="ru-RU"/>
        </w:rPr>
        <w:t>Согласно комплексу мер, направленных на совершенствование системы среднего профессионального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 с 1 сентября 2017 годанаша профессиональная образовательная организацияначала </w:t>
      </w:r>
      <w:r w:rsidRPr="002173CB">
        <w:rPr>
          <w:rFonts w:ascii="Times New Roman" w:eastAsia="Times New Roman" w:hAnsi="Times New Roman"/>
          <w:sz w:val="28"/>
          <w:szCs w:val="28"/>
          <w:lang w:eastAsia="ru-RU"/>
        </w:rPr>
        <w:t>подготовку по новым ФГОС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по ТОП 50 по профессии 43.01.09 Повар, кондитер, поэтому перед образовательной организацией стояла</w:t>
      </w:r>
      <w:r w:rsidRPr="002173CB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важная задача внедрения ФГОС по ТОП – 50.</w:t>
      </w:r>
      <w:proofErr w:type="gramEnd"/>
    </w:p>
    <w:p w:rsidR="00D27231" w:rsidRPr="004132B6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2B6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новых моделей управления профессиональными образовательными организациями, реализация проектов по переходу </w:t>
      </w:r>
      <w:proofErr w:type="gramStart"/>
      <w:r w:rsidRPr="004132B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132B6">
        <w:rPr>
          <w:rFonts w:ascii="Times New Roman" w:hAnsi="Times New Roman" w:cs="Times New Roman"/>
          <w:sz w:val="28"/>
          <w:szCs w:val="28"/>
          <w:lang w:eastAsia="ru-RU"/>
        </w:rPr>
        <w:t xml:space="preserve"> новые ФГОС по наиболее востребованным, новым и перспективным профессиям и специальностям (ТОП-50) на уровне профессиональной образовательной организации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алгоритмом запуска предполагалось </w:t>
      </w:r>
      <w:r w:rsidRPr="004132B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как минимум четырех задач:</w:t>
      </w:r>
    </w:p>
    <w:p w:rsidR="00D27231" w:rsidRPr="004132B6" w:rsidRDefault="00D27231" w:rsidP="00D272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оценка</w:t>
      </w:r>
      <w:r w:rsidRPr="004132B6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образовательной организации к внедрению ФГОС по ТОП-50 на основе инвентаризации реализуемых образовательных программ (ОП) подготовки квалифицированных рабочих и специалистов среднего звена;</w:t>
      </w:r>
    </w:p>
    <w:p w:rsidR="00D27231" w:rsidRPr="004132B6" w:rsidRDefault="00D27231" w:rsidP="00D272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разработка</w:t>
      </w:r>
      <w:r w:rsidRPr="004132B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внедрения ФГОС по ТОП-50 в образовательной организации;</w:t>
      </w:r>
    </w:p>
    <w:p w:rsidR="00D27231" w:rsidRPr="004132B6" w:rsidRDefault="00D27231" w:rsidP="00D272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2B6">
        <w:rPr>
          <w:rFonts w:ascii="Times New Roman" w:hAnsi="Times New Roman" w:cs="Times New Roman"/>
          <w:sz w:val="28"/>
          <w:szCs w:val="28"/>
          <w:lang w:eastAsia="ru-RU"/>
        </w:rPr>
        <w:t>– обеспечение разработки и реализации образовательных программ на основе примерных основных образовательных программ (ПООП) с учетом региональной и отраслевой специфики;</w:t>
      </w: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32B6">
        <w:rPr>
          <w:rFonts w:ascii="Times New Roman" w:hAnsi="Times New Roman"/>
          <w:sz w:val="28"/>
          <w:szCs w:val="28"/>
          <w:lang w:eastAsia="ru-RU"/>
        </w:rPr>
        <w:t>– развитие кадрового потенциала образовательной организации.</w:t>
      </w: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связи с этими задачами н</w:t>
      </w:r>
      <w:r w:rsidRPr="00DB5875">
        <w:rPr>
          <w:rFonts w:ascii="Times New Roman" w:hAnsi="Times New Roman"/>
          <w:bCs/>
          <w:sz w:val="28"/>
          <w:szCs w:val="28"/>
        </w:rPr>
        <w:t xml:space="preserve">ами </w:t>
      </w:r>
      <w:r>
        <w:rPr>
          <w:rFonts w:ascii="Times New Roman" w:hAnsi="Times New Roman"/>
          <w:bCs/>
          <w:sz w:val="28"/>
          <w:szCs w:val="28"/>
        </w:rPr>
        <w:t xml:space="preserve">была использована </w:t>
      </w:r>
      <w:r w:rsidRPr="00DB5875">
        <w:rPr>
          <w:rFonts w:ascii="Times New Roman" w:hAnsi="Times New Roman"/>
          <w:bCs/>
          <w:sz w:val="28"/>
          <w:szCs w:val="28"/>
        </w:rPr>
        <w:t>модель</w:t>
      </w:r>
      <w:r w:rsidRPr="00DB58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 </w:t>
      </w:r>
      <w:r w:rsidRPr="00DB5875">
        <w:rPr>
          <w:rFonts w:ascii="Times New Roman" w:hAnsi="Times New Roman"/>
          <w:sz w:val="28"/>
          <w:szCs w:val="28"/>
          <w:u w:color="000000"/>
        </w:rPr>
        <w:t>«</w:t>
      </w:r>
      <w:r w:rsidRPr="00DB5875">
        <w:rPr>
          <w:rFonts w:ascii="Times New Roman" w:hAnsi="Times New Roman"/>
          <w:sz w:val="28"/>
          <w:szCs w:val="28"/>
        </w:rPr>
        <w:t>Внедрение ФГОС СПО по наиболее востребованным  и перспективным  профессиям и специальностям в соответствии с международными станда</w:t>
      </w:r>
      <w:r>
        <w:rPr>
          <w:rFonts w:ascii="Times New Roman" w:hAnsi="Times New Roman"/>
          <w:sz w:val="28"/>
          <w:szCs w:val="28"/>
        </w:rPr>
        <w:t>ртами и передовыми технологиями»</w:t>
      </w: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D27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-931545</wp:posOffset>
            </wp:positionV>
            <wp:extent cx="10376535" cy="625284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535" cy="62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231" w:rsidRPr="004132B6" w:rsidRDefault="00D27231" w:rsidP="00D272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7231" w:rsidRPr="002440EB" w:rsidRDefault="00D27231" w:rsidP="00D272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</w:pPr>
    </w:p>
    <w:p w:rsidR="00D27231" w:rsidRDefault="00D27231" w:rsidP="00D27231">
      <w:pPr>
        <w:ind w:firstLine="708"/>
        <w:sectPr w:rsidR="00D27231" w:rsidSect="00E93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7231" w:rsidRDefault="00D27231" w:rsidP="00D272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Также, как и иные федеральные государственные образовательные стандарты, </w:t>
      </w:r>
      <w:r w:rsidRPr="002440EB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 xml:space="preserve">СПО по ТОП-50 </w:t>
      </w:r>
      <w:r w:rsidRPr="002440EB">
        <w:rPr>
          <w:rFonts w:ascii="Times New Roman" w:hAnsi="Times New Roman"/>
          <w:sz w:val="28"/>
          <w:szCs w:val="28"/>
        </w:rPr>
        <w:t xml:space="preserve">является основой объективной оценки </w:t>
      </w:r>
      <w:proofErr w:type="gramStart"/>
      <w:r w:rsidRPr="002440EB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2440EB">
        <w:rPr>
          <w:rFonts w:ascii="Times New Roman" w:hAnsi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освоившихобразовательные программы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, то перед нашей организацией стояла задача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создания</w:t>
      </w:r>
      <w:r w:rsidRPr="00DA2F5A">
        <w:rPr>
          <w:rFonts w:ascii="Times New Roman" w:hAnsi="Times New Roman"/>
          <w:sz w:val="28"/>
          <w:szCs w:val="28"/>
        </w:rPr>
        <w:t>условий для  реализации образовательных  программ в соответствии с требованиями ФГОС</w:t>
      </w:r>
      <w:r>
        <w:rPr>
          <w:rFonts w:ascii="Times New Roman" w:hAnsi="Times New Roman"/>
          <w:sz w:val="28"/>
          <w:szCs w:val="28"/>
        </w:rPr>
        <w:t xml:space="preserve"> СПО по ТОП-50, </w:t>
      </w:r>
      <w:r w:rsidRPr="002440EB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материально-технического, учебно-методического икадрового обеспечения,  создание современной образовательной среды.</w:t>
      </w:r>
    </w:p>
    <w:p w:rsidR="00D27231" w:rsidRDefault="00D27231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разработанной «дорожной картой» на организационном этапе наряду с обеспечением выполнения общесистемных требований ФГОС СПО ТОП 50  приводится в соответствие с учетом требований международных стандартов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лицензионных требований</w:t>
      </w:r>
      <w:r w:rsidRPr="004C7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ально-техническая база, созданы </w:t>
      </w:r>
      <w:r w:rsidRPr="004C7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лаборатории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3D71B9">
        <w:rPr>
          <w:rFonts w:ascii="Times New Roman" w:hAnsi="Times New Roman"/>
          <w:sz w:val="28"/>
          <w:szCs w:val="28"/>
        </w:rPr>
        <w:t xml:space="preserve"> проведение всех видов учебной деятельности обучающихся, предусмотренных учебным </w:t>
      </w:r>
      <w:r w:rsidRPr="00B3704B">
        <w:rPr>
          <w:rFonts w:ascii="Times New Roman" w:hAnsi="Times New Roman"/>
          <w:sz w:val="28"/>
          <w:szCs w:val="28"/>
        </w:rPr>
        <w:t>планом.</w:t>
      </w:r>
      <w:r>
        <w:rPr>
          <w:rFonts w:ascii="Times New Roman" w:hAnsi="Times New Roman"/>
          <w:sz w:val="28"/>
          <w:szCs w:val="28"/>
        </w:rPr>
        <w:t xml:space="preserve"> Лаборатории оснащаются необходимым оборудованием: </w:t>
      </w:r>
    </w:p>
    <w:p w:rsidR="00D27231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CB7269">
        <w:rPr>
          <w:rFonts w:ascii="Times New Roman" w:hAnsi="Times New Roman"/>
          <w:sz w:val="28"/>
          <w:szCs w:val="28"/>
        </w:rPr>
        <w:t>ароконвектомат</w:t>
      </w:r>
      <w:proofErr w:type="spellEnd"/>
      <w:r w:rsidRPr="00CB7269">
        <w:rPr>
          <w:rFonts w:ascii="Times New Roman" w:hAnsi="Times New Roman"/>
          <w:sz w:val="28"/>
          <w:szCs w:val="28"/>
        </w:rPr>
        <w:t xml:space="preserve"> ПКА 6-1/1ВМ2 </w:t>
      </w:r>
    </w:p>
    <w:p w:rsidR="00D27231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B7269">
        <w:rPr>
          <w:rFonts w:ascii="Times New Roman" w:hAnsi="Times New Roman"/>
          <w:sz w:val="28"/>
          <w:szCs w:val="28"/>
        </w:rPr>
        <w:t xml:space="preserve">лектроплита ЭП-4ЖШ </w:t>
      </w:r>
    </w:p>
    <w:p w:rsidR="00D27231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плиты индукционные </w:t>
      </w:r>
      <w:proofErr w:type="spellStart"/>
      <w:r w:rsidRPr="00CB7269">
        <w:rPr>
          <w:rFonts w:ascii="Times New Roman" w:hAnsi="Times New Roman"/>
          <w:sz w:val="28"/>
          <w:szCs w:val="28"/>
          <w:lang w:val="en-US"/>
        </w:rPr>
        <w:t>HurakanHKNICF</w:t>
      </w:r>
      <w:proofErr w:type="spellEnd"/>
      <w:r w:rsidRPr="00CB7269">
        <w:rPr>
          <w:rFonts w:ascii="Times New Roman" w:hAnsi="Times New Roman"/>
          <w:sz w:val="28"/>
          <w:szCs w:val="28"/>
        </w:rPr>
        <w:t>35ТМ</w:t>
      </w:r>
    </w:p>
    <w:p w:rsidR="00D27231" w:rsidRPr="00CB7269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вакуумная упаковочная машина</w:t>
      </w:r>
      <w:r w:rsidRPr="00CB7269">
        <w:rPr>
          <w:rFonts w:ascii="Times New Roman" w:hAnsi="Times New Roman"/>
          <w:sz w:val="28"/>
          <w:szCs w:val="28"/>
          <w:lang w:val="en-US"/>
        </w:rPr>
        <w:t>GEMLUXGL</w:t>
      </w:r>
      <w:r w:rsidRPr="00CB7269">
        <w:rPr>
          <w:rFonts w:ascii="Times New Roman" w:hAnsi="Times New Roman"/>
          <w:sz w:val="28"/>
          <w:szCs w:val="28"/>
        </w:rPr>
        <w:t>-</w:t>
      </w:r>
      <w:r w:rsidRPr="00CB7269">
        <w:rPr>
          <w:rFonts w:ascii="Times New Roman" w:hAnsi="Times New Roman"/>
          <w:sz w:val="28"/>
          <w:szCs w:val="28"/>
          <w:lang w:val="en-US"/>
        </w:rPr>
        <w:t>VS</w:t>
      </w:r>
      <w:r w:rsidRPr="00CB7269">
        <w:rPr>
          <w:rFonts w:ascii="Times New Roman" w:hAnsi="Times New Roman"/>
          <w:sz w:val="28"/>
          <w:szCs w:val="28"/>
        </w:rPr>
        <w:t>-169</w:t>
      </w:r>
      <w:r w:rsidRPr="00CB7269">
        <w:rPr>
          <w:rFonts w:ascii="Times New Roman" w:hAnsi="Times New Roman"/>
          <w:sz w:val="28"/>
          <w:szCs w:val="28"/>
          <w:lang w:val="en-US"/>
        </w:rPr>
        <w:t>S</w:t>
      </w:r>
    </w:p>
    <w:p w:rsidR="00D27231" w:rsidRPr="00CB7269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7269">
        <w:rPr>
          <w:rFonts w:ascii="Times New Roman" w:hAnsi="Times New Roman"/>
          <w:sz w:val="28"/>
          <w:szCs w:val="28"/>
        </w:rPr>
        <w:t>льдогенератор</w:t>
      </w:r>
      <w:r w:rsidRPr="00CB7269">
        <w:rPr>
          <w:rFonts w:ascii="Times New Roman" w:hAnsi="Times New Roman"/>
          <w:sz w:val="28"/>
          <w:szCs w:val="28"/>
          <w:lang w:val="en-US"/>
        </w:rPr>
        <w:t>HurakanHKN</w:t>
      </w:r>
      <w:proofErr w:type="spellEnd"/>
      <w:r w:rsidRPr="00CB7269">
        <w:rPr>
          <w:rFonts w:ascii="Times New Roman" w:hAnsi="Times New Roman"/>
          <w:sz w:val="28"/>
          <w:szCs w:val="28"/>
        </w:rPr>
        <w:t>-</w:t>
      </w:r>
      <w:r w:rsidRPr="00CB7269">
        <w:rPr>
          <w:rFonts w:ascii="Times New Roman" w:hAnsi="Times New Roman"/>
          <w:sz w:val="28"/>
          <w:szCs w:val="28"/>
          <w:lang w:val="en-US"/>
        </w:rPr>
        <w:t>IMF</w:t>
      </w:r>
    </w:p>
    <w:p w:rsidR="00D27231" w:rsidRDefault="00D27231" w:rsidP="00D2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тестомесильная машина</w:t>
      </w:r>
    </w:p>
    <w:p w:rsidR="00D27231" w:rsidRPr="00CB7269" w:rsidRDefault="00D27231" w:rsidP="00D2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шкаф пекарный.</w:t>
      </w:r>
    </w:p>
    <w:p w:rsidR="00D27231" w:rsidRPr="00CB7269" w:rsidRDefault="00D27231" w:rsidP="00D272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B7269">
        <w:rPr>
          <w:rFonts w:ascii="Times New Roman" w:hAnsi="Times New Roman"/>
          <w:sz w:val="28"/>
          <w:szCs w:val="28"/>
        </w:rPr>
        <w:t>ритюрница</w:t>
      </w:r>
    </w:p>
    <w:p w:rsidR="00D27231" w:rsidRPr="00CB7269" w:rsidRDefault="00D27231" w:rsidP="00D2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269">
        <w:rPr>
          <w:rFonts w:ascii="Times New Roman" w:hAnsi="Times New Roman"/>
          <w:sz w:val="28"/>
          <w:szCs w:val="28"/>
        </w:rPr>
        <w:t>блендер погружной</w:t>
      </w:r>
    </w:p>
    <w:p w:rsidR="00D27231" w:rsidRPr="00CB7269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CB7269">
        <w:rPr>
          <w:rFonts w:ascii="Times New Roman" w:hAnsi="Times New Roman"/>
          <w:sz w:val="28"/>
          <w:szCs w:val="28"/>
        </w:rPr>
        <w:t>лайсер</w:t>
      </w:r>
      <w:r w:rsidRPr="00CB7269">
        <w:rPr>
          <w:rFonts w:ascii="Times New Roman" w:hAnsi="Times New Roman"/>
          <w:sz w:val="28"/>
          <w:szCs w:val="28"/>
          <w:lang w:val="en-US"/>
        </w:rPr>
        <w:t>ViattoHBS</w:t>
      </w:r>
      <w:proofErr w:type="spellEnd"/>
      <w:r w:rsidRPr="00CB7269">
        <w:rPr>
          <w:rFonts w:ascii="Times New Roman" w:hAnsi="Times New Roman"/>
          <w:sz w:val="28"/>
          <w:szCs w:val="28"/>
        </w:rPr>
        <w:t>-220</w:t>
      </w:r>
      <w:r w:rsidRPr="00CB7269">
        <w:rPr>
          <w:rFonts w:ascii="Times New Roman" w:hAnsi="Times New Roman"/>
          <w:sz w:val="28"/>
          <w:szCs w:val="28"/>
          <w:lang w:val="en-US"/>
        </w:rPr>
        <w:t>JS</w:t>
      </w:r>
    </w:p>
    <w:p w:rsidR="00D27231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B7269">
        <w:rPr>
          <w:rFonts w:ascii="Times New Roman" w:hAnsi="Times New Roman"/>
          <w:sz w:val="28"/>
          <w:szCs w:val="28"/>
        </w:rPr>
        <w:t>итрат-тестер «СОЭКС»-2</w:t>
      </w:r>
    </w:p>
    <w:p w:rsidR="00D27231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E4F5E">
        <w:rPr>
          <w:rFonts w:ascii="Times New Roman" w:hAnsi="Times New Roman"/>
          <w:sz w:val="28"/>
          <w:szCs w:val="28"/>
        </w:rPr>
        <w:t>олодильник витринный</w:t>
      </w:r>
    </w:p>
    <w:p w:rsidR="00D27231" w:rsidRDefault="00D27231" w:rsidP="00D2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разделочные доски маркировки согласно требованиям НАССП и др.</w:t>
      </w:r>
    </w:p>
    <w:p w:rsidR="00D27231" w:rsidRDefault="009425A4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 выполнены т</w:t>
      </w:r>
      <w:r w:rsidR="00D27231">
        <w:rPr>
          <w:rFonts w:ascii="Times New Roman" w:hAnsi="Times New Roman"/>
          <w:sz w:val="28"/>
          <w:szCs w:val="28"/>
        </w:rPr>
        <w:t>ребования к учебно-методическому обеспечению реализации образовательной программы согласно ФГОС включают в себя требования к</w:t>
      </w:r>
      <w:r>
        <w:rPr>
          <w:rFonts w:ascii="Times New Roman" w:hAnsi="Times New Roman"/>
          <w:sz w:val="28"/>
          <w:szCs w:val="28"/>
        </w:rPr>
        <w:t>библиотечному фонду, это</w:t>
      </w:r>
      <w:r w:rsidR="00D27231">
        <w:rPr>
          <w:rFonts w:ascii="Times New Roman" w:hAnsi="Times New Roman"/>
          <w:sz w:val="28"/>
          <w:szCs w:val="28"/>
        </w:rPr>
        <w:t xml:space="preserve"> наличие в </w:t>
      </w:r>
      <w:r w:rsidR="00D27231" w:rsidRPr="006E5FE9">
        <w:rPr>
          <w:rFonts w:ascii="Times New Roman" w:hAnsi="Times New Roman"/>
          <w:sz w:val="28"/>
          <w:szCs w:val="28"/>
        </w:rPr>
        <w:t>качестве основной литературы учебник</w:t>
      </w:r>
      <w:r w:rsidR="00D27231">
        <w:rPr>
          <w:rFonts w:ascii="Times New Roman" w:hAnsi="Times New Roman"/>
          <w:sz w:val="28"/>
          <w:szCs w:val="28"/>
        </w:rPr>
        <w:t>ов</w:t>
      </w:r>
      <w:r w:rsidR="00D27231" w:rsidRPr="006E5FE9">
        <w:rPr>
          <w:rFonts w:ascii="Times New Roman" w:hAnsi="Times New Roman"/>
          <w:sz w:val="28"/>
          <w:szCs w:val="28"/>
        </w:rPr>
        <w:t>, учебны</w:t>
      </w:r>
      <w:r w:rsidR="00D27231">
        <w:rPr>
          <w:rFonts w:ascii="Times New Roman" w:hAnsi="Times New Roman"/>
          <w:sz w:val="28"/>
          <w:szCs w:val="28"/>
        </w:rPr>
        <w:t>х</w:t>
      </w:r>
      <w:r w:rsidR="00D27231" w:rsidRPr="006E5FE9">
        <w:rPr>
          <w:rFonts w:ascii="Times New Roman" w:hAnsi="Times New Roman"/>
          <w:sz w:val="28"/>
          <w:szCs w:val="28"/>
        </w:rPr>
        <w:t xml:space="preserve"> пособи</w:t>
      </w:r>
      <w:r w:rsidR="00D27231">
        <w:rPr>
          <w:rFonts w:ascii="Times New Roman" w:hAnsi="Times New Roman"/>
          <w:sz w:val="28"/>
          <w:szCs w:val="28"/>
        </w:rPr>
        <w:t xml:space="preserve">й, предусмотренных образовательной </w:t>
      </w:r>
      <w:r>
        <w:rPr>
          <w:rFonts w:ascii="Times New Roman" w:hAnsi="Times New Roman"/>
          <w:sz w:val="28"/>
          <w:szCs w:val="28"/>
        </w:rPr>
        <w:t xml:space="preserve">программой. </w:t>
      </w:r>
    </w:p>
    <w:p w:rsidR="00D27231" w:rsidRPr="006E5FE9" w:rsidRDefault="00D27231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требования к реализации образовательной программы предусматривают наличие педагогических работников, к</w:t>
      </w:r>
      <w:r w:rsidRPr="006E5FE9">
        <w:rPr>
          <w:rFonts w:ascii="Times New Roman" w:hAnsi="Times New Roman"/>
          <w:sz w:val="28"/>
          <w:szCs w:val="28"/>
        </w:rPr>
        <w:t xml:space="preserve">валификация </w:t>
      </w:r>
      <w:r>
        <w:rPr>
          <w:rFonts w:ascii="Times New Roman" w:hAnsi="Times New Roman"/>
          <w:sz w:val="28"/>
          <w:szCs w:val="28"/>
        </w:rPr>
        <w:t>которых отвечает</w:t>
      </w:r>
      <w:r w:rsidRPr="006E5FE9">
        <w:rPr>
          <w:rFonts w:ascii="Times New Roman" w:hAnsi="Times New Roman"/>
          <w:sz w:val="28"/>
          <w:szCs w:val="28"/>
        </w:rPr>
        <w:t xml:space="preserve"> квалификационным требованиям, указанным в </w:t>
      </w:r>
      <w:r w:rsidRPr="00C410A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 «</w:t>
      </w:r>
      <w:r w:rsidRPr="00C410A3">
        <w:rPr>
          <w:rFonts w:ascii="Times New Roman" w:hAnsi="Times New Roman"/>
          <w:sz w:val="28"/>
          <w:szCs w:val="28"/>
        </w:rPr>
        <w:t>Квалификационные характеристики до</w:t>
      </w:r>
      <w:r>
        <w:rPr>
          <w:rFonts w:ascii="Times New Roman" w:hAnsi="Times New Roman"/>
          <w:sz w:val="28"/>
          <w:szCs w:val="28"/>
        </w:rPr>
        <w:t>лжностей работников образования»</w:t>
      </w:r>
    </w:p>
    <w:p w:rsidR="00D27231" w:rsidRDefault="00D27231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EAB">
        <w:rPr>
          <w:rFonts w:ascii="Times New Roman" w:hAnsi="Times New Roman"/>
          <w:sz w:val="28"/>
          <w:szCs w:val="28"/>
        </w:rPr>
        <w:t xml:space="preserve">Обеспечение качественной подготовки педагогических кадров для реализации  основных образовательных программ по ТОП -50  осуществляется за счет повышения квалификации педагогических работников техникума. Так мастер производственного обучения Денисенко А.В. в 2019 году прошла повышение квалификации в федеральном государственном бюджетном учреждении высшего образования «Сочинский </w:t>
      </w:r>
      <w:r w:rsidRPr="007C3EAB">
        <w:rPr>
          <w:rFonts w:ascii="Times New Roman" w:hAnsi="Times New Roman"/>
          <w:sz w:val="28"/>
          <w:szCs w:val="28"/>
        </w:rPr>
        <w:lastRenderedPageBreak/>
        <w:t xml:space="preserve">государственный университет»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спецификации  стандартов </w:t>
      </w:r>
      <w:proofErr w:type="spellStart"/>
      <w:r w:rsidRPr="007C3EAB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7C3EAB">
        <w:rPr>
          <w:rFonts w:ascii="Times New Roman" w:hAnsi="Times New Roman"/>
          <w:sz w:val="28"/>
          <w:szCs w:val="28"/>
        </w:rPr>
        <w:t xml:space="preserve"> по компетенции «Поварское дело»»</w:t>
      </w:r>
      <w:r>
        <w:rPr>
          <w:rFonts w:ascii="Times New Roman" w:hAnsi="Times New Roman"/>
          <w:sz w:val="28"/>
          <w:szCs w:val="28"/>
        </w:rPr>
        <w:t xml:space="preserve">. Она приняла участие в семинарах-тренингах по темам «Современные техники приготовления блюд (инновационные технологии)» и «Мировые кулинарные практики. Основы и современные подходы к сочетаемости ингредиентов блюд».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Посохова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прошла повышение квалификации в Институте региональной кадровой политики области по дополнительной профессиональной программе «Актуальные проблемы реализации программ профессионального образования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актуализированными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СПО и по специальностям и профессиям из перечня ТОП 50».</w:t>
      </w:r>
    </w:p>
    <w:p w:rsidR="00D27231" w:rsidRPr="0075742E" w:rsidRDefault="00D27231" w:rsidP="00D2723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742E"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программ</w:t>
      </w:r>
      <w:r w:rsidRPr="0075742E">
        <w:rPr>
          <w:color w:val="000000"/>
          <w:sz w:val="28"/>
          <w:szCs w:val="28"/>
        </w:rPr>
        <w:t xml:space="preserve"> ТОП-50 требует от техникума создания современного обр</w:t>
      </w:r>
      <w:r>
        <w:rPr>
          <w:color w:val="000000"/>
          <w:sz w:val="28"/>
          <w:szCs w:val="28"/>
        </w:rPr>
        <w:t xml:space="preserve">азовательного пространства, в частности </w:t>
      </w:r>
      <w:r w:rsidRPr="0075742E">
        <w:rPr>
          <w:color w:val="000000"/>
          <w:sz w:val="28"/>
          <w:szCs w:val="28"/>
        </w:rPr>
        <w:t>практико-ориентированных методов обучения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Создавая такие условия в</w:t>
      </w:r>
      <w:r w:rsidRPr="00776EA0">
        <w:rPr>
          <w:sz w:val="28"/>
          <w:szCs w:val="28"/>
        </w:rPr>
        <w:t xml:space="preserve"> рамках сетевого взаимодействия с предприятиями- партн</w:t>
      </w:r>
      <w:r>
        <w:rPr>
          <w:sz w:val="28"/>
          <w:szCs w:val="28"/>
        </w:rPr>
        <w:t xml:space="preserve">ёрами, с целью  использования  элементов </w:t>
      </w:r>
      <w:r w:rsidRPr="00776EA0">
        <w:rPr>
          <w:sz w:val="28"/>
          <w:szCs w:val="28"/>
        </w:rPr>
        <w:t xml:space="preserve"> дуального обучения, заключены  договоры о п</w:t>
      </w:r>
      <w:r>
        <w:rPr>
          <w:sz w:val="28"/>
          <w:szCs w:val="28"/>
        </w:rPr>
        <w:t xml:space="preserve">рохождении обучающимися производственных </w:t>
      </w:r>
      <w:r w:rsidR="00BF7376" w:rsidRPr="00BF7376">
        <w:rPr>
          <w:sz w:val="28"/>
          <w:szCs w:val="28"/>
        </w:rPr>
        <w:t>практик.</w:t>
      </w:r>
    </w:p>
    <w:p w:rsidR="00D27231" w:rsidRDefault="00BF7376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376">
        <w:rPr>
          <w:rFonts w:ascii="Times New Roman" w:hAnsi="Times New Roman"/>
          <w:sz w:val="28"/>
          <w:szCs w:val="28"/>
        </w:rPr>
        <w:t xml:space="preserve">В этом направлении </w:t>
      </w:r>
      <w:r>
        <w:rPr>
          <w:rFonts w:ascii="Times New Roman" w:hAnsi="Times New Roman"/>
          <w:sz w:val="28"/>
          <w:szCs w:val="28"/>
        </w:rPr>
        <w:t>а</w:t>
      </w:r>
      <w:r w:rsidR="00D27231" w:rsidRPr="00776EA0">
        <w:rPr>
          <w:rFonts w:ascii="Times New Roman" w:hAnsi="Times New Roman"/>
          <w:sz w:val="28"/>
          <w:szCs w:val="28"/>
        </w:rPr>
        <w:t xml:space="preserve">ктивизирована работа по созданию современной системы </w:t>
      </w:r>
      <w:proofErr w:type="spellStart"/>
      <w:r w:rsidR="00D27231" w:rsidRPr="00776EA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D27231" w:rsidRPr="00776EA0">
        <w:rPr>
          <w:rFonts w:ascii="Times New Roman" w:hAnsi="Times New Roman"/>
          <w:sz w:val="28"/>
          <w:szCs w:val="28"/>
        </w:rPr>
        <w:t xml:space="preserve"> работы</w:t>
      </w:r>
      <w:r w:rsidR="00D27231">
        <w:rPr>
          <w:rFonts w:ascii="Times New Roman" w:hAnsi="Times New Roman"/>
          <w:sz w:val="28"/>
          <w:szCs w:val="28"/>
        </w:rPr>
        <w:t xml:space="preserve">.  Так в связи с проведением </w:t>
      </w:r>
      <w:proofErr w:type="spellStart"/>
      <w:r w:rsidR="00D27231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D27231">
        <w:rPr>
          <w:rFonts w:ascii="Times New Roman" w:hAnsi="Times New Roman"/>
          <w:sz w:val="28"/>
          <w:szCs w:val="28"/>
        </w:rPr>
        <w:t xml:space="preserve"> мероприятий в рамках регионального чемпионата «Молодые профессионалы» наши мастера производственного обучения и преподаватели совместно с </w:t>
      </w:r>
      <w:proofErr w:type="gramStart"/>
      <w:r w:rsidR="00D2723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D27231">
        <w:rPr>
          <w:rFonts w:ascii="Times New Roman" w:hAnsi="Times New Roman"/>
          <w:sz w:val="28"/>
          <w:szCs w:val="28"/>
        </w:rPr>
        <w:t xml:space="preserve"> проводят различные мастер-классы для об</w:t>
      </w:r>
      <w:r w:rsidR="009425A4">
        <w:rPr>
          <w:rFonts w:ascii="Times New Roman" w:hAnsi="Times New Roman"/>
          <w:sz w:val="28"/>
          <w:szCs w:val="28"/>
        </w:rPr>
        <w:t>учающихся школ района и области, для населения района.</w:t>
      </w:r>
    </w:p>
    <w:p w:rsidR="00D27231" w:rsidRDefault="00D27231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76EA0">
        <w:rPr>
          <w:rFonts w:ascii="Times New Roman" w:hAnsi="Times New Roman"/>
          <w:sz w:val="28"/>
          <w:szCs w:val="28"/>
        </w:rPr>
        <w:t>ктивизирована работа по вовле</w:t>
      </w:r>
      <w:r>
        <w:rPr>
          <w:rFonts w:ascii="Times New Roman" w:hAnsi="Times New Roman"/>
          <w:sz w:val="28"/>
          <w:szCs w:val="28"/>
        </w:rPr>
        <w:t xml:space="preserve">чению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различные профессиональные и воспитательные мероприятия.</w:t>
      </w:r>
      <w:r w:rsidRPr="00FA7A49">
        <w:rPr>
          <w:rFonts w:ascii="Times New Roman" w:hAnsi="Times New Roman"/>
          <w:sz w:val="28"/>
          <w:szCs w:val="28"/>
        </w:rPr>
        <w:t xml:space="preserve"> Так в 2019-2020 уч. году наши студенты приняли участие в областном конкурсе «Белгородская кулебяка», который проходил в рамках проекта «Создание культурно-исторического кластера «Белгородская черта»»</w:t>
      </w:r>
      <w:r>
        <w:rPr>
          <w:rFonts w:ascii="Times New Roman" w:hAnsi="Times New Roman"/>
          <w:sz w:val="28"/>
          <w:szCs w:val="28"/>
        </w:rPr>
        <w:t>. Коллектив был награжден дипломом победителя в номинации «За креативность и эстетику», а обучающиеся получили сертификаты от БУКЕП на скидку при обучении.</w:t>
      </w:r>
    </w:p>
    <w:p w:rsidR="00D27231" w:rsidRPr="004C7A14" w:rsidRDefault="00D27231" w:rsidP="00D2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нашего техникума приняли участие в межрайонном конкурсе профессионального мастерства «Маэстро кухни», проводимом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стали призерами этого конкурса.</w:t>
      </w:r>
    </w:p>
    <w:p w:rsidR="00D27231" w:rsidRPr="00735B8D" w:rsidRDefault="00D27231" w:rsidP="00D272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875">
        <w:rPr>
          <w:rFonts w:ascii="Times New Roman" w:eastAsia="Times New Roman" w:hAnsi="Times New Roman"/>
          <w:sz w:val="28"/>
          <w:szCs w:val="28"/>
          <w:lang w:eastAsia="ru-RU"/>
        </w:rPr>
        <w:t>На заключительном этапе будет проведен анализ  выполнения требований ФГОС СПО по ТОП-50 и трудоустройства выпускников, а также планирование мероприятий по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ршенствованию подготовки кадров.</w:t>
      </w:r>
    </w:p>
    <w:p w:rsidR="00D27231" w:rsidRPr="00721D82" w:rsidRDefault="00D27231" w:rsidP="00D27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</w:t>
      </w:r>
      <w:r w:rsidRPr="00721D8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позволило нам </w:t>
      </w:r>
      <w:r w:rsidRPr="00721D82">
        <w:rPr>
          <w:rFonts w:ascii="Times New Roman" w:hAnsi="Times New Roman" w:cs="Times New Roman"/>
          <w:sz w:val="28"/>
          <w:szCs w:val="28"/>
          <w:lang w:eastAsia="ru-RU"/>
        </w:rPr>
        <w:t>реализовать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 на подготовку специалистов, </w:t>
      </w:r>
      <w:r w:rsidRPr="00721D82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рейтинг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агротехнологического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техникума, так как до недавнего времени реализовывалась программа ППКРС по профессии «Хозяйка усадьбы», </w:t>
      </w:r>
      <w:r w:rsidRPr="00721D82">
        <w:rPr>
          <w:rFonts w:ascii="Times New Roman" w:hAnsi="Times New Roman" w:cs="Times New Roman"/>
          <w:sz w:val="28"/>
          <w:szCs w:val="28"/>
          <w:lang w:eastAsia="ru-RU"/>
        </w:rPr>
        <w:t>повысить качество подготовки кадров в полном соответствии международным стандартам и передовым технологиям</w:t>
      </w:r>
    </w:p>
    <w:p w:rsidR="00E93AF9" w:rsidRPr="007C3EAB" w:rsidRDefault="00E93AF9" w:rsidP="00C026E4">
      <w:pPr>
        <w:ind w:firstLine="708"/>
        <w:rPr>
          <w:rFonts w:ascii="Times New Roman" w:hAnsi="Times New Roman"/>
        </w:rPr>
      </w:pPr>
    </w:p>
    <w:sectPr w:rsidR="00E93AF9" w:rsidRPr="007C3EAB" w:rsidSect="00E9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0D"/>
    <w:rsid w:val="00047410"/>
    <w:rsid w:val="000F3908"/>
    <w:rsid w:val="00135F51"/>
    <w:rsid w:val="00174ED7"/>
    <w:rsid w:val="00184A69"/>
    <w:rsid w:val="00325E10"/>
    <w:rsid w:val="0039700A"/>
    <w:rsid w:val="003B5CEB"/>
    <w:rsid w:val="004132B6"/>
    <w:rsid w:val="004C7A14"/>
    <w:rsid w:val="004D07B4"/>
    <w:rsid w:val="006E5DCB"/>
    <w:rsid w:val="00721D82"/>
    <w:rsid w:val="0075601B"/>
    <w:rsid w:val="0079580C"/>
    <w:rsid w:val="007C3EAB"/>
    <w:rsid w:val="00822DD7"/>
    <w:rsid w:val="008303EF"/>
    <w:rsid w:val="0091347B"/>
    <w:rsid w:val="00914D9E"/>
    <w:rsid w:val="009425A4"/>
    <w:rsid w:val="00AD7492"/>
    <w:rsid w:val="00B34AB6"/>
    <w:rsid w:val="00B3704B"/>
    <w:rsid w:val="00B82DA5"/>
    <w:rsid w:val="00BA3CDE"/>
    <w:rsid w:val="00BF7376"/>
    <w:rsid w:val="00C026E4"/>
    <w:rsid w:val="00CB7269"/>
    <w:rsid w:val="00CE4F5E"/>
    <w:rsid w:val="00CF5F64"/>
    <w:rsid w:val="00D27231"/>
    <w:rsid w:val="00D57149"/>
    <w:rsid w:val="00D6077B"/>
    <w:rsid w:val="00E401A7"/>
    <w:rsid w:val="00E53727"/>
    <w:rsid w:val="00E93AF9"/>
    <w:rsid w:val="00EA5A9F"/>
    <w:rsid w:val="00EF510D"/>
    <w:rsid w:val="00FE17F1"/>
    <w:rsid w:val="00FE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7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7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D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2020-03-17T07:06:00Z</cp:lastPrinted>
  <dcterms:created xsi:type="dcterms:W3CDTF">2020-04-27T07:00:00Z</dcterms:created>
  <dcterms:modified xsi:type="dcterms:W3CDTF">2020-04-27T07:00:00Z</dcterms:modified>
</cp:coreProperties>
</file>